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092"/>
        <w:pBdr/>
        <w:spacing w:line="276" w:lineRule="auto"/>
        <w:ind/>
        <w:rPr/>
      </w:pPr>
      <w:r>
        <w:t xml:space="preserve">OBSAH</w:t>
      </w:r>
      <w:r/>
    </w:p>
    <w:p w14:paraId="0EB031F8">
      <w:pPr>
        <w:pStyle w:val="1061"/>
        <w:pBdr/>
        <w:tabs>
          <w:tab w:val="left" w:leader="none" w:pos="567"/>
          <w:tab w:val="clear" w:leader="none" w:pos="567"/>
          <w:tab w:val="right" w:leader="dot" w:pos="9355"/>
        </w:tabs>
        <w:spacing/>
        <w:ind/>
        <w:rPr/>
      </w:pPr>
      <w:r>
        <w:fldChar w:fldCharType="begin"/>
      </w:r>
      <w:r>
        <w:instrText xml:space="preserve"> TOC \o "1-3" \h \z \u </w:instrText>
      </w:r>
      <w:r>
        <w:fldChar w:fldCharType="separate"/>
      </w:r>
      <w:r/>
      <w:hyperlink w:tooltip="#_Toc200920514" w:anchor="_Toc200920514" w:history="1">
        <w:r>
          <w:rPr>
            <w:rFonts w:ascii="Arial" w:hAnsi="Arial" w:eastAsia="Times New Roman" w:cs="Times New Roman"/>
          </w:rPr>
          <w:t xml:space="preserve">1.</w:t>
        </w:r>
        <w:r>
          <w:tab/>
        </w:r>
        <w:r>
          <w:rPr>
            <w:rStyle w:val="1108"/>
          </w:rPr>
        </w:r>
        <w:r>
          <w:rPr>
            <w:rStyle w:val="1108"/>
          </w:rPr>
          <w:t xml:space="preserve">SO 04 – STÁVAJÍCÍ ČOV</w:t>
        </w:r>
        <w:r>
          <w:rPr>
            <w:rStyle w:val="1108"/>
          </w:rPr>
        </w:r>
        <w:r>
          <w:tab/>
        </w:r>
        <w:r>
          <w:fldChar w:fldCharType="begin"/>
          <w:instrText xml:space="preserve">PAGEREF _Toc200920514 \h</w:instrText>
          <w:fldChar w:fldCharType="separate"/>
          <w:t xml:space="preserve">2</w:t>
          <w:fldChar w:fldCharType="end"/>
        </w:r>
      </w:hyperlink>
      <w:r/>
    </w:p>
    <w:p w14:paraId="496971E3">
      <w:pPr>
        <w:pStyle w:val="1063"/>
        <w:pBdr/>
        <w:tabs>
          <w:tab w:val="clear" w:leader="none" w:pos="567"/>
          <w:tab w:val="left" w:leader="none" w:pos="1417"/>
          <w:tab w:val="right" w:leader="dot" w:pos="9355"/>
        </w:tabs>
        <w:spacing/>
        <w:ind/>
        <w:rPr/>
      </w:pPr>
      <w:hyperlink w:tooltip="#_Toc200920515" w:anchor="_Toc200920515" w:history="1">
        <w:r>
          <w:rPr>
            <w:rFonts w:ascii="Arial" w:hAnsi="Arial" w:eastAsia="Times New Roman" w:cs="Times New Roman"/>
          </w:rPr>
          <w:t xml:space="preserve">1.1.1.</w:t>
        </w:r>
        <w:r>
          <w:tab/>
        </w:r>
        <w:r>
          <w:rPr>
            <w:rStyle w:val="1108"/>
          </w:rPr>
        </w:r>
        <w:r>
          <w:rPr>
            <w:rStyle w:val="1108"/>
          </w:rPr>
          <w:t xml:space="preserve">VÝPLNĚ OTVORŮ</w:t>
        </w:r>
        <w:r>
          <w:rPr>
            <w:rStyle w:val="1108"/>
          </w:rPr>
          <w:t xml:space="preserve"> </w:t>
        </w:r>
        <w:r>
          <w:rPr>
            <w:rStyle w:val="1108"/>
          </w:rPr>
        </w:r>
        <w:r>
          <w:tab/>
        </w:r>
        <w:r>
          <w:fldChar w:fldCharType="begin"/>
          <w:instrText xml:space="preserve">PAGEREF _Toc200920515 \h</w:instrText>
          <w:fldChar w:fldCharType="separate"/>
          <w:t xml:space="preserve">2</w:t>
          <w:fldChar w:fldCharType="end"/>
        </w:r>
      </w:hyperlink>
      <w:r/>
    </w:p>
    <w:p w14:paraId="1BEC65B8">
      <w:pPr>
        <w:pStyle w:val="1061"/>
        <w:pBdr/>
        <w:tabs>
          <w:tab w:val="left" w:leader="none" w:pos="567"/>
          <w:tab w:val="clear" w:leader="none" w:pos="567"/>
          <w:tab w:val="right" w:leader="dot" w:pos="9355"/>
        </w:tabs>
        <w:spacing/>
        <w:ind/>
        <w:rPr/>
      </w:pPr>
      <w:hyperlink w:tooltip="#_Toc200920516" w:anchor="_Toc200920516" w:history="1">
        <w:r>
          <w:rPr>
            <w:rFonts w:ascii="Arial" w:hAnsi="Arial" w:eastAsia="Times New Roman" w:cs="Times New Roman"/>
          </w:rPr>
          <w:t xml:space="preserve">2.</w:t>
        </w:r>
        <w:r>
          <w:tab/>
        </w:r>
        <w:r>
          <w:rPr>
            <w:rStyle w:val="1108"/>
          </w:rPr>
        </w:r>
        <w:r>
          <w:rPr>
            <w:rStyle w:val="1108"/>
          </w:rPr>
          <w:t xml:space="preserve">POŽADAVKY NA POSTUP STAVEBNÍCH A MONTÁŽNÍCH PRACÍ</w:t>
        </w:r>
        <w:r>
          <w:rPr>
            <w:rStyle w:val="1108"/>
          </w:rPr>
        </w:r>
        <w:r>
          <w:tab/>
        </w:r>
        <w:r>
          <w:fldChar w:fldCharType="begin"/>
          <w:instrText xml:space="preserve">PAGEREF _Toc200920516 \h</w:instrText>
          <w:fldChar w:fldCharType="separate"/>
          <w:t xml:space="preserve">2</w:t>
          <w:fldChar w:fldCharType="end"/>
        </w:r>
      </w:hyperlink>
      <w:r/>
    </w:p>
    <w:p w14:paraId="2261CBE1">
      <w:pPr>
        <w:pStyle w:val="1062"/>
        <w:pBdr/>
        <w:tabs>
          <w:tab w:val="clear" w:leader="none" w:pos="567"/>
          <w:tab w:val="left" w:leader="none" w:pos="1134"/>
          <w:tab w:val="right" w:leader="dot" w:pos="9355"/>
        </w:tabs>
        <w:spacing/>
        <w:ind/>
        <w:rPr/>
      </w:pPr>
      <w:hyperlink w:tooltip="#_Toc200920517" w:anchor="_Toc200920517" w:history="1">
        <w:r>
          <w:rPr>
            <w:rFonts w:ascii="Arial" w:hAnsi="Arial" w:eastAsia="Times New Roman" w:cs="Times New Roman"/>
          </w:rPr>
          <w:t xml:space="preserve">2.1.</w:t>
        </w:r>
        <w:r>
          <w:tab/>
        </w:r>
        <w:r>
          <w:rPr>
            <w:rStyle w:val="1108"/>
          </w:rPr>
        </w:r>
        <w:r>
          <w:rPr>
            <w:rStyle w:val="1108"/>
          </w:rPr>
          <w:t xml:space="preserve">POPIS PŘÍPRAVNÝCH, SOUVISEJÍCÍCH A DOKONČUJÍCÍCH PRACÍ</w:t>
        </w:r>
        <w:r>
          <w:rPr>
            <w:rStyle w:val="1108"/>
          </w:rPr>
          <w:t xml:space="preserve"> </w:t>
        </w:r>
        <w:r>
          <w:rPr>
            <w:rStyle w:val="1108"/>
          </w:rPr>
        </w:r>
        <w:r>
          <w:tab/>
        </w:r>
        <w:r>
          <w:fldChar w:fldCharType="begin"/>
          <w:instrText xml:space="preserve">PAGEREF _Toc200920517 \h</w:instrText>
          <w:fldChar w:fldCharType="separate"/>
          <w:t xml:space="preserve">3</w:t>
          <w:fldChar w:fldCharType="end"/>
        </w:r>
      </w:hyperlink>
      <w:r/>
    </w:p>
    <w:p w14:paraId="75B99698">
      <w:pPr>
        <w:pStyle w:val="1073"/>
        <w:pBdr/>
        <w:spacing w:line="276" w:lineRule="auto"/>
        <w:ind/>
        <w:rPr/>
      </w:pPr>
      <w:r/>
      <w:r>
        <w:rPr>
          <w:b/>
          <w:bCs/>
        </w:rPr>
        <w:fldChar w:fldCharType="end"/>
      </w:r>
      <w:r/>
      <w:r/>
    </w:p>
    <w:p>
      <w:pPr>
        <w:pStyle w:val="1073"/>
        <w:pBdr/>
        <w:spacing w:line="276" w:lineRule="auto"/>
        <w:ind/>
        <w:rPr/>
      </w:pPr>
      <w:r/>
      <w:r/>
    </w:p>
    <w:p>
      <w:pPr>
        <w:pStyle w:val="1073"/>
        <w:pBdr/>
        <w:spacing w:line="276" w:lineRule="auto"/>
        <w:ind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 w14:paraId="4792C534">
      <w:pPr>
        <w:pStyle w:val="1073"/>
        <w:pBdr/>
        <w:spacing w:line="276" w:lineRule="auto"/>
        <w:ind/>
        <w:jc w:val="left"/>
        <w:rPr/>
      </w:pPr>
      <w:r/>
      <w:r/>
      <w:r/>
    </w:p>
    <w:p w14:paraId="0207F395">
      <w:pPr>
        <w:pStyle w:val="1073"/>
        <w:pBdr/>
        <w:spacing w:line="276" w:lineRule="auto"/>
        <w:ind/>
        <w:jc w:val="left"/>
        <w:rPr/>
      </w:pPr>
      <w:r/>
      <w:r/>
      <w:r/>
    </w:p>
    <w:p w14:paraId="3587EBE0">
      <w:pPr>
        <w:pStyle w:val="1073"/>
        <w:pBdr/>
        <w:spacing w:line="276" w:lineRule="auto"/>
        <w:ind/>
        <w:jc w:val="left"/>
        <w:rPr/>
      </w:pPr>
      <w:r/>
      <w:r/>
      <w:r/>
    </w:p>
    <w:p w14:paraId="60715CAF">
      <w:pPr>
        <w:pStyle w:val="1073"/>
        <w:pBdr/>
        <w:spacing w:line="276" w:lineRule="auto"/>
        <w:ind/>
        <w:jc w:val="left"/>
        <w:rPr/>
      </w:pPr>
      <w:r/>
      <w:r/>
      <w:r/>
    </w:p>
    <w:p w14:paraId="15CC3D80">
      <w:pPr>
        <w:pStyle w:val="1073"/>
        <w:pBdr/>
        <w:spacing w:line="276" w:lineRule="auto"/>
        <w:ind/>
        <w:jc w:val="left"/>
        <w:rPr/>
      </w:pPr>
      <w:r/>
      <w:r/>
      <w:r/>
    </w:p>
    <w:p w14:paraId="1C757C97">
      <w:pPr>
        <w:pStyle w:val="1073"/>
        <w:pBdr/>
        <w:spacing w:line="276" w:lineRule="auto"/>
        <w:ind/>
        <w:jc w:val="left"/>
        <w:rPr/>
      </w:pPr>
      <w:r/>
      <w:r/>
      <w:r/>
    </w:p>
    <w:p w14:paraId="1395A4F4">
      <w:pPr>
        <w:pStyle w:val="1073"/>
        <w:pBdr/>
        <w:spacing w:line="276" w:lineRule="auto"/>
        <w:ind/>
        <w:jc w:val="left"/>
        <w:rPr/>
      </w:pPr>
      <w:r/>
      <w:r/>
      <w:r/>
    </w:p>
    <w:p w14:paraId="61EEF6DC">
      <w:pPr>
        <w:pStyle w:val="1073"/>
        <w:pBdr/>
        <w:spacing w:line="276" w:lineRule="auto"/>
        <w:ind/>
        <w:jc w:val="left"/>
        <w:rPr/>
      </w:pPr>
      <w:r/>
      <w:r/>
      <w:r/>
    </w:p>
    <w:p w14:paraId="1DDD2DDF">
      <w:pPr>
        <w:pStyle w:val="1073"/>
        <w:pBdr/>
        <w:spacing w:line="276" w:lineRule="auto"/>
        <w:ind/>
        <w:jc w:val="left"/>
        <w:rPr/>
      </w:pPr>
      <w:r/>
      <w:r/>
      <w:r/>
    </w:p>
    <w:p w14:paraId="4925A06A">
      <w:pPr>
        <w:pStyle w:val="1073"/>
        <w:pBdr/>
        <w:spacing w:line="276" w:lineRule="auto"/>
        <w:ind/>
        <w:jc w:val="left"/>
        <w:rPr/>
      </w:pPr>
      <w:r/>
      <w:r/>
      <w:r/>
    </w:p>
    <w:p w14:paraId="064DA6A5">
      <w:pPr>
        <w:pStyle w:val="1073"/>
        <w:pBdr/>
        <w:spacing w:line="276" w:lineRule="auto"/>
        <w:ind/>
        <w:jc w:val="left"/>
        <w:rPr/>
      </w:pPr>
      <w:r/>
      <w:r/>
      <w:r/>
    </w:p>
    <w:p w14:paraId="4011071E">
      <w:pPr>
        <w:pStyle w:val="1073"/>
        <w:pBdr/>
        <w:spacing w:line="276" w:lineRule="auto"/>
        <w:ind/>
        <w:jc w:val="left"/>
        <w:rPr/>
      </w:pPr>
      <w:r/>
      <w:r/>
      <w:r/>
    </w:p>
    <w:p w14:paraId="57F76423">
      <w:pPr>
        <w:pStyle w:val="1073"/>
        <w:pBdr/>
        <w:spacing w:line="276" w:lineRule="auto"/>
        <w:ind/>
        <w:jc w:val="left"/>
        <w:rPr/>
      </w:pPr>
      <w:r/>
      <w:r/>
      <w:r/>
    </w:p>
    <w:p w14:paraId="30AF7A4E">
      <w:pPr>
        <w:pStyle w:val="1073"/>
        <w:pBdr/>
        <w:spacing w:line="276" w:lineRule="auto"/>
        <w:ind/>
        <w:jc w:val="left"/>
        <w:rPr/>
      </w:pPr>
      <w:r/>
      <w:r/>
      <w:r/>
    </w:p>
    <w:p w14:paraId="03EF0DC9">
      <w:pPr>
        <w:pStyle w:val="1073"/>
        <w:pBdr/>
        <w:spacing w:line="276" w:lineRule="auto"/>
        <w:ind/>
        <w:jc w:val="left"/>
        <w:rPr/>
      </w:pPr>
      <w:r/>
      <w:r/>
      <w:r/>
    </w:p>
    <w:p w14:paraId="42EE3CE3">
      <w:pPr>
        <w:pStyle w:val="1073"/>
        <w:pBdr/>
        <w:spacing w:line="276" w:lineRule="auto"/>
        <w:ind/>
        <w:jc w:val="left"/>
        <w:rPr/>
      </w:pPr>
      <w:r/>
      <w:r/>
      <w:r/>
    </w:p>
    <w:p w14:paraId="766F8A6E">
      <w:pPr>
        <w:pStyle w:val="1073"/>
        <w:pBdr/>
        <w:spacing w:line="276" w:lineRule="auto"/>
        <w:ind/>
        <w:jc w:val="left"/>
        <w:rPr/>
      </w:pPr>
      <w:r/>
      <w:r/>
      <w:r/>
    </w:p>
    <w:p w14:paraId="6FC328B6">
      <w:pPr>
        <w:pStyle w:val="1073"/>
        <w:pBdr/>
        <w:spacing w:line="276" w:lineRule="auto"/>
        <w:ind/>
        <w:jc w:val="left"/>
        <w:rPr/>
      </w:pPr>
      <w:r/>
      <w:r/>
      <w:r/>
    </w:p>
    <w:p w14:paraId="7E8C59CE">
      <w:pPr>
        <w:pStyle w:val="1073"/>
        <w:pBdr/>
        <w:spacing w:line="276" w:lineRule="auto"/>
        <w:ind/>
        <w:jc w:val="left"/>
        <w:rPr/>
      </w:pPr>
      <w:r/>
      <w:r/>
      <w:r/>
    </w:p>
    <w:p w14:paraId="749334EB">
      <w:pPr>
        <w:pStyle w:val="1073"/>
        <w:pBdr/>
        <w:spacing w:line="276" w:lineRule="auto"/>
        <w:ind/>
        <w:jc w:val="left"/>
        <w:rPr/>
      </w:pPr>
      <w:r/>
      <w:r/>
      <w:r/>
    </w:p>
    <w:p w14:paraId="2E826B11">
      <w:pPr>
        <w:pStyle w:val="1073"/>
        <w:pBdr/>
        <w:spacing w:line="276" w:lineRule="auto"/>
        <w:ind/>
        <w:jc w:val="left"/>
        <w:rPr/>
      </w:pPr>
      <w:r/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4"/>
        <w:pBdr/>
        <w:spacing w:after="0" w:line="276" w:lineRule="auto"/>
        <w:ind/>
        <w:rPr/>
      </w:pPr>
      <w:r/>
      <w:bookmarkStart w:id="15" w:name="_Toc200920514"/>
      <w:r/>
      <w:bookmarkStart w:id="14" w:name="_Toc200920513"/>
      <w:r>
        <w:t xml:space="preserve">SO 04 – stávající čov</w:t>
      </w:r>
      <w:r/>
      <w:bookmarkEnd w:id="15"/>
      <w:r/>
      <w:r/>
    </w:p>
    <w:p w14:paraId="4CC89DCE">
      <w:pPr>
        <w:pBdr/>
        <w:spacing/>
        <w:ind/>
        <w:rPr/>
      </w:pPr>
      <w:r/>
      <w:r/>
      <w:r/>
    </w:p>
    <w:p w14:paraId="52AEE21E">
      <w:pPr>
        <w:pBdr/>
        <w:spacing w:line="276" w:lineRule="auto"/>
        <w:ind/>
        <w:rPr>
          <w:highlight w:val="none"/>
        </w:rPr>
      </w:pPr>
      <w:r/>
      <w:r>
        <w:t xml:space="preserve">Stávající objekt ČOV zůstane až na pár detailů ponechán. Po dokončení výstavby </w:t>
      </w:r>
      <w:r>
        <w:t xml:space="preserve">stavebních objektů SO 01 kalolisovna a SO 02 nová budova ČOV a následnému převedení provozu čištění odpadních vod do nové budovy ČOV bude stávající objekt zrekonstruován tak, aby vyhověl požadavkům na rozdílné využití prostor. V nadzemní části stavebních objektu ČOV bude provedeno zazdění stávajícího dveřního otvoru do velína a dojde k vybudování nového dveřního otvoru z exteriéru. V nádržích a stropních deskách budou vybourány nové prostupové otvory pro navrženou technologii, viz tabulka prostupů a příslušné výkresové přílohy a strojně – technologická část této projektové dokumentace. </w:t>
      </w:r>
      <w:r>
        <w:t xml:space="preserve">Veškeré trubní prostupy jsou detailně řešeny v tabulkách prostupů. Stávající polohy prostupů byly převztay ze všech dostupných podkladů pro tuto projektovou dokumentaci, je třeba je ověřit v rámci realizace a stavebních prací, nebyla možnost zaměřit před projektovou činností!</w:t>
      </w:r>
      <w:r>
        <w:rPr>
          <w:highlight w:val="none"/>
        </w:rPr>
      </w:r>
    </w:p>
    <w:p>
      <w:pPr>
        <w:pStyle w:val="1076"/>
        <w:pBdr/>
        <w:spacing w:line="276" w:lineRule="auto"/>
        <w:ind/>
        <w:rPr/>
      </w:pPr>
      <w:r/>
      <w:bookmarkStart w:id="16" w:name="_Toc200920515"/>
      <w:r>
        <w:t xml:space="preserve">Výplně otvorů</w:t>
      </w:r>
      <w:r>
        <w:t xml:space="preserve"> </w:t>
      </w:r>
      <w:r/>
      <w:bookmarkEnd w:id="16"/>
      <w:r/>
      <w:r/>
    </w:p>
    <w:p>
      <w:pPr>
        <w:pStyle w:val="1077"/>
        <w:pBdr/>
        <w:spacing w:line="276" w:lineRule="auto"/>
        <w:ind/>
        <w:rPr/>
      </w:pPr>
      <w:r>
        <w:t xml:space="preserve">Dveře</w:t>
      </w:r>
      <w:r/>
    </w:p>
    <w:p>
      <w:pPr>
        <w:pStyle w:val="1073"/>
        <w:pBdr/>
        <w:tabs>
          <w:tab w:val="clear" w:leader="none" w:pos="567"/>
        </w:tabs>
        <w:spacing w:line="276" w:lineRule="auto"/>
        <w:ind w:left="360"/>
        <w:jc w:val="left"/>
        <w:rPr/>
      </w:pPr>
      <w:r>
        <w:rPr>
          <w:b/>
        </w:rPr>
        <w:t xml:space="preserve">Vst</w:t>
      </w:r>
      <w:r>
        <w:rPr>
          <w:b/>
        </w:rPr>
        <w:t xml:space="preserve">upní dveře:</w:t>
      </w:r>
      <w:r/>
    </w:p>
    <w:p>
      <w:pPr>
        <w:pStyle w:val="1073"/>
        <w:pBdr/>
        <w:tabs>
          <w:tab w:val="clear" w:leader="none" w:pos="567"/>
        </w:tabs>
        <w:spacing w:line="276" w:lineRule="auto"/>
        <w:ind/>
        <w:jc w:val="both"/>
        <w:rPr/>
      </w:pPr>
      <w:r>
        <w:rPr>
          <w:highlight w:val="none"/>
        </w:rPr>
      </w:r>
      <w:r>
        <w:rPr>
          <w:highlight w:val="none"/>
        </w:rPr>
        <w:t xml:space="preserve">Do objektu kalolisovny</w:t>
      </w:r>
      <w:r>
        <w:rPr>
          <w:highlight w:val="none"/>
        </w:rPr>
        <w:t xml:space="preserve"> budou osazeny nové vstupní plastové dveře. Dveře budou bezpečnostní, jednokřídlé, bílé, otevírané dovnitř. Rám dveří bude ukotven v drážce ve zdivu. Rám bude ukotven do turbošroubů. Rozměr nutno doměřit na místě!! Nad vstupními dveřmi bude řešen překlad. </w:t>
      </w:r>
      <w:r>
        <w:rPr>
          <w:highlight w:val="none"/>
        </w:rPr>
      </w:r>
      <w:r/>
    </w:p>
    <w:p>
      <w:pPr>
        <w:pStyle w:val="1073"/>
        <w:pBdr/>
        <w:tabs>
          <w:tab w:val="clear" w:leader="none" w:pos="567"/>
        </w:tabs>
        <w:spacing w:line="276" w:lineRule="auto"/>
        <w:ind/>
        <w:jc w:val="left"/>
        <w:rPr/>
      </w:pPr>
      <w:r/>
      <w:r/>
    </w:p>
    <w:p>
      <w:pPr>
        <w:pStyle w:val="1073"/>
        <w:pBdr/>
        <w:tabs>
          <w:tab w:val="clear" w:leader="none" w:pos="567"/>
        </w:tabs>
        <w:spacing w:line="276" w:lineRule="auto"/>
        <w:ind w:firstLine="426"/>
        <w:jc w:val="left"/>
        <w:rPr>
          <w:b/>
        </w:rPr>
      </w:pPr>
      <w:r>
        <w:rPr>
          <w:b/>
        </w:rPr>
        <w:t xml:space="preserve">Specifikace dveří:</w:t>
      </w:r>
      <w:r>
        <w:rPr>
          <w:b/>
        </w:rPr>
      </w:r>
      <w:r>
        <w:rPr>
          <w:b/>
        </w:rPr>
      </w:r>
    </w:p>
    <w:p>
      <w:pPr>
        <w:pStyle w:val="1073"/>
        <w:pBdr/>
        <w:tabs>
          <w:tab w:val="clear" w:leader="none" w:pos="567"/>
        </w:tabs>
        <w:spacing w:line="276" w:lineRule="auto"/>
        <w:ind w:firstLine="567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barva rámu:  bílá</w:t>
      </w:r>
      <w:r>
        <w:rPr>
          <w:rFonts w:cs="Arial"/>
          <w:szCs w:val="22"/>
        </w:rPr>
      </w:r>
      <w:r>
        <w:rPr>
          <w:rFonts w:cs="Arial"/>
          <w:szCs w:val="22"/>
        </w:rPr>
      </w:r>
    </w:p>
    <w:p>
      <w:pPr>
        <w:pStyle w:val="1073"/>
        <w:pBdr/>
        <w:tabs>
          <w:tab w:val="clear" w:leader="none" w:pos="567"/>
        </w:tabs>
        <w:spacing w:line="276" w:lineRule="auto"/>
        <w:ind w:firstLine="567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barva křídla: bílá</w:t>
      </w:r>
      <w:r>
        <w:rPr>
          <w:rFonts w:cs="Arial"/>
          <w:szCs w:val="22"/>
        </w:rPr>
      </w:r>
      <w:r>
        <w:rPr>
          <w:rFonts w:cs="Arial"/>
          <w:szCs w:val="22"/>
        </w:rPr>
      </w:r>
    </w:p>
    <w:p>
      <w:pPr>
        <w:pStyle w:val="1073"/>
        <w:pBdr/>
        <w:tabs>
          <w:tab w:val="clear" w:leader="none" w:pos="567"/>
        </w:tabs>
        <w:spacing w:line="276" w:lineRule="auto"/>
        <w:ind w:firstLine="567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výplň: panel 24 mm bilý</w:t>
      </w:r>
      <w:r>
        <w:rPr>
          <w:rFonts w:cs="Arial"/>
          <w:szCs w:val="22"/>
        </w:rPr>
      </w:r>
      <w:r>
        <w:rPr>
          <w:rFonts w:cs="Arial"/>
          <w:szCs w:val="22"/>
        </w:rPr>
      </w:r>
    </w:p>
    <w:p>
      <w:pPr>
        <w:pStyle w:val="1073"/>
        <w:pBdr/>
        <w:tabs>
          <w:tab w:val="clear" w:leader="none" w:pos="567"/>
        </w:tabs>
        <w:spacing w:line="276" w:lineRule="auto"/>
        <w:ind w:firstLine="567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kování: 1 x VD M2 (2 klíny)</w:t>
      </w:r>
      <w:r>
        <w:rPr>
          <w:rFonts w:cs="Arial"/>
          <w:szCs w:val="22"/>
        </w:rPr>
      </w:r>
      <w:r>
        <w:rPr>
          <w:rFonts w:cs="Arial"/>
          <w:szCs w:val="22"/>
        </w:rPr>
      </w:r>
    </w:p>
    <w:p>
      <w:pPr>
        <w:pStyle w:val="1073"/>
        <w:pBdr/>
        <w:tabs>
          <w:tab w:val="clear" w:leader="none" w:pos="567"/>
        </w:tabs>
        <w:spacing w:line="276" w:lineRule="auto"/>
        <w:ind w:firstLine="567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práh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 xml:space="preserve">hliníkový s přerušovaným tepelným mostem</w:t>
      </w:r>
      <w:r>
        <w:rPr>
          <w:rFonts w:cs="Arial"/>
          <w:szCs w:val="22"/>
        </w:rPr>
      </w:r>
      <w:r>
        <w:rPr>
          <w:rFonts w:cs="Arial"/>
          <w:szCs w:val="22"/>
        </w:rPr>
      </w:r>
    </w:p>
    <w:p>
      <w:pPr>
        <w:pStyle w:val="1074"/>
        <w:pBdr/>
        <w:spacing w:line="276" w:lineRule="auto"/>
        <w:ind/>
        <w:rPr/>
      </w:pPr>
      <w:r/>
      <w:bookmarkStart w:id="17" w:name="_Toc200920516"/>
      <w:r/>
      <w:r>
        <w:t xml:space="preserve">požadavky na postup stavebních a montážních prací</w:t>
      </w:r>
      <w:r/>
      <w:bookmarkEnd w:id="17"/>
      <w:r/>
      <w:r/>
    </w:p>
    <w:p>
      <w:pPr>
        <w:pStyle w:val="1073"/>
        <w:pBdr/>
        <w:spacing w:line="276" w:lineRule="auto"/>
        <w:ind/>
        <w:rPr/>
      </w:pPr>
      <w:r>
        <w:tab/>
        <w:t xml:space="preserve">Požadavky na postup stavebních a montážních prací respektují nařízení vlády</w:t>
      </w:r>
      <w:r/>
    </w:p>
    <w:p>
      <w:pPr>
        <w:pStyle w:val="1073"/>
        <w:pBdr/>
        <w:spacing w:line="276" w:lineRule="auto"/>
        <w:ind/>
        <w:rPr/>
      </w:pPr>
      <w:r>
        <w:t xml:space="preserve"> č. 591/2006 Sb., které nabylo účinnosti dne 1. ledna 2007, a které stanoví bližší minimální pož</w:t>
      </w:r>
      <w:r>
        <w:t xml:space="preserve">a</w:t>
      </w:r>
      <w:r>
        <w:t xml:space="preserve">davky na be</w:t>
      </w:r>
      <w:r>
        <w:t xml:space="preserve">z</w:t>
      </w:r>
      <w:r>
        <w:t xml:space="preserve">pečnost a ochranu zdraví při práci na staveništích, příloha č. 3.</w:t>
      </w:r>
      <w:r/>
    </w:p>
    <w:p>
      <w:pPr>
        <w:pStyle w:val="1073"/>
        <w:pBdr/>
        <w:spacing w:line="276" w:lineRule="auto"/>
        <w:ind/>
        <w:rPr/>
      </w:pPr>
      <w:r>
        <w:tab/>
        <w:t xml:space="preserve">Stavba nemá žádné speciální nároky na postup stavebních prací. Stavební práce budou prob</w:t>
      </w:r>
      <w:r>
        <w:t xml:space="preserve">í</w:t>
      </w:r>
      <w:r>
        <w:t xml:space="preserve">hat dle běžných zvyklostí, tzn. práce HSV, PSV a terénní úpravy.</w:t>
      </w:r>
      <w:r/>
    </w:p>
    <w:p>
      <w:pPr>
        <w:pStyle w:val="1073"/>
        <w:pBdr/>
        <w:spacing w:line="276" w:lineRule="auto"/>
        <w:ind/>
        <w:rPr/>
      </w:pPr>
      <w:r>
        <w:t xml:space="preserve">Pro provádění montážních prací bude zpracován technologický postup montáže s u</w:t>
      </w:r>
      <w:r>
        <w:t xml:space="preserve">r</w:t>
      </w:r>
      <w:r>
        <w:t xml:space="preserve">čením</w:t>
      </w:r>
      <w:r/>
    </w:p>
    <w:p>
      <w:pPr>
        <w:pStyle w:val="1073"/>
        <w:pBdr/>
        <w:spacing w:line="276" w:lineRule="auto"/>
        <w:ind/>
        <w:rPr/>
      </w:pPr>
      <w:r>
        <w:t xml:space="preserve">podmínek pro nasazení a pohyb mechanizačních prostředků, zabezpečení dotčených pracovišť a zajištění pracovníků proti pádu z výšky.</w:t>
      </w:r>
      <w:r/>
    </w:p>
    <w:p>
      <w:pPr>
        <w:pStyle w:val="1073"/>
        <w:pBdr/>
        <w:spacing w:line="276" w:lineRule="auto"/>
        <w:ind/>
        <w:rPr/>
      </w:pPr>
      <w:r>
        <w:rPr>
          <w:b/>
        </w:rPr>
        <w:t xml:space="preserve">Před zahájením stavby musí investor zajistit vytýčení všech podzemních investic, aby n</w:t>
      </w:r>
      <w:r>
        <w:rPr>
          <w:b/>
        </w:rPr>
        <w:t xml:space="preserve">e</w:t>
      </w:r>
      <w:r>
        <w:rPr>
          <w:b/>
        </w:rPr>
        <w:t xml:space="preserve">došlo k jejich poškození,</w:t>
      </w:r>
      <w:r>
        <w:t xml:space="preserve"> zejména energetických a komunikačních vedení, vodovodní sítě, v mí</w:t>
      </w:r>
      <w:r>
        <w:t xml:space="preserve">s</w:t>
      </w:r>
      <w:r>
        <w:t xml:space="preserve">tě jejich střetu se stavbou, popřípadě jiné podzemní a nadzemní překážky nacházející se na st</w:t>
      </w:r>
      <w:r>
        <w:t xml:space="preserve">a</w:t>
      </w:r>
      <w:r>
        <w:t xml:space="preserve">veništi.</w:t>
      </w:r>
      <w:r/>
    </w:p>
    <w:p>
      <w:pPr>
        <w:pStyle w:val="1073"/>
        <w:pBdr/>
        <w:spacing w:line="276" w:lineRule="auto"/>
        <w:ind w:firstLine="708"/>
        <w:rPr/>
      </w:pPr>
      <w:r>
        <w:t xml:space="preserve">Před zahájením zemních prací musí být určeno rozmístění stavebních výkopů a jam a j</w:t>
      </w:r>
      <w:r>
        <w:t xml:space="preserve">e</w:t>
      </w:r>
      <w:r>
        <w:t xml:space="preserve">jich rozměry a určeny způsoby těžení zeminy, zajištění stěn výkopů proti sesutí, zejména druh </w:t>
      </w:r>
      <w:r/>
    </w:p>
    <w:p>
      <w:pPr>
        <w:pStyle w:val="1112"/>
        <w:pBdr/>
        <w:spacing w:line="276" w:lineRule="auto"/>
        <w:ind w:firstLine="708"/>
        <w:rPr>
          <w:sz w:val="22"/>
        </w:rPr>
      </w:pPr>
      <w:r>
        <w:rPr>
          <w:sz w:val="22"/>
        </w:rPr>
        <w:t xml:space="preserve">Veškeré výkopové práce v ochranných pásmech stávajících rozvodů se musí provádět ru</w:t>
      </w:r>
      <w:r>
        <w:rPr>
          <w:sz w:val="22"/>
        </w:rPr>
        <w:t xml:space="preserve">č</w:t>
      </w:r>
      <w:r>
        <w:rPr>
          <w:sz w:val="22"/>
        </w:rPr>
        <w:t xml:space="preserve">ně. Před jejich odkrytím je nutné uvědomit správce, zajistit ochranu proti porušení a jiným vnějším účinkům a řídit se jeho podmínkami.</w:t>
      </w:r>
      <w:r>
        <w:rPr>
          <w:sz w:val="22"/>
        </w:rPr>
      </w:r>
      <w:r>
        <w:rPr>
          <w:sz w:val="22"/>
        </w:rPr>
      </w:r>
    </w:p>
    <w:p>
      <w:pPr>
        <w:pStyle w:val="1075"/>
        <w:pBdr/>
        <w:spacing w:line="276" w:lineRule="auto"/>
        <w:ind/>
        <w:rPr/>
      </w:pPr>
      <w:r/>
      <w:bookmarkStart w:id="18" w:name="_Toc200920517"/>
      <w:r>
        <w:t xml:space="preserve">POPIS PŘÍPRAVNÝCH, SOUVISEJÍCÍCH A DOKONČUJÍCÍCH PRACÍ</w:t>
      </w:r>
      <w:r>
        <w:t xml:space="preserve"> </w:t>
      </w:r>
      <w:r/>
      <w:bookmarkEnd w:id="18"/>
      <w:r/>
      <w:r/>
    </w:p>
    <w:p>
      <w:pPr>
        <w:pStyle w:val="1073"/>
        <w:numPr>
          <w:ilvl w:val="0"/>
          <w:numId w:val="18"/>
        </w:numPr>
        <w:pBdr/>
        <w:spacing w:line="276" w:lineRule="auto"/>
        <w:ind/>
        <w:rPr/>
      </w:pPr>
      <w:r>
        <w:rPr>
          <w:i/>
          <w:u w:val="single"/>
        </w:rPr>
        <w:t xml:space="preserve">Vybudování, provozování a zrušení nutného zařízení stavenišť</w:t>
      </w:r>
      <w:r>
        <w:t xml:space="preserve"> </w:t>
      </w:r>
      <w:r/>
    </w:p>
    <w:p>
      <w:pPr>
        <w:pStyle w:val="1114"/>
        <w:pBdr/>
        <w:spacing w:line="276" w:lineRule="auto"/>
        <w:ind/>
        <w:rPr>
          <w:highlight w:val="none"/>
        </w:rPr>
      </w:pPr>
      <w:r>
        <w:tab/>
        <w:t xml:space="preserve">Uchazeč se obeznámí se situací stavby ohledně přísunu materiálu, vzdáleností, odvozu v</w:t>
      </w:r>
      <w:r>
        <w:t xml:space="preserve">y</w:t>
      </w:r>
      <w:r>
        <w:t xml:space="preserve">bouraného m</w:t>
      </w:r>
      <w:r>
        <w:t xml:space="preserve">a</w:t>
      </w:r>
      <w:r>
        <w:t xml:space="preserve">teriálu atd.</w:t>
      </w:r>
      <w:r>
        <w:rPr>
          <w:highlight w:val="none"/>
        </w:rPr>
      </w:r>
      <w:r>
        <w:rPr>
          <w:highlight w:val="none"/>
        </w:rPr>
      </w:r>
    </w:p>
    <w:p>
      <w:pPr>
        <w:pStyle w:val="1114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73"/>
        <w:numPr>
          <w:ilvl w:val="0"/>
          <w:numId w:val="18"/>
        </w:numPr>
        <w:pBdr/>
        <w:spacing w:line="276" w:lineRule="auto"/>
        <w:ind/>
        <w:jc w:val="left"/>
        <w:rPr/>
      </w:pPr>
      <w:r>
        <w:rPr>
          <w:i/>
          <w:u w:val="single"/>
        </w:rPr>
        <w:t xml:space="preserve">Lešení</w:t>
      </w:r>
      <w:r>
        <w:t xml:space="preserve"> </w:t>
      </w:r>
      <w:r/>
    </w:p>
    <w:p>
      <w:pPr>
        <w:pStyle w:val="1114"/>
        <w:pBdr/>
        <w:spacing w:line="276" w:lineRule="auto"/>
        <w:ind/>
        <w:rPr>
          <w:highlight w:val="none"/>
        </w:rPr>
      </w:pPr>
      <w:r>
        <w:tab/>
        <w:t xml:space="preserve">montáž a demontáž celoplošného lešení po celou dobu stavby včetně nezbytných doplňků, jeho nezbytné přestavby, posuny a úpravy - vše v rozsahu nutném pro provedení díla</w:t>
      </w:r>
      <w:r>
        <w:rPr>
          <w:highlight w:val="none"/>
        </w:rPr>
      </w:r>
      <w:r>
        <w:rPr>
          <w:highlight w:val="none"/>
        </w:rPr>
      </w:r>
    </w:p>
    <w:p>
      <w:pPr>
        <w:pStyle w:val="1114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73"/>
        <w:numPr>
          <w:ilvl w:val="0"/>
          <w:numId w:val="18"/>
        </w:numPr>
        <w:pBdr/>
        <w:spacing w:line="276" w:lineRule="auto"/>
        <w:ind/>
        <w:jc w:val="left"/>
        <w:rPr>
          <w:i/>
          <w:u w:val="single"/>
        </w:rPr>
      </w:pPr>
      <w:r>
        <w:rPr>
          <w:i/>
          <w:u w:val="single"/>
        </w:rPr>
        <w:t xml:space="preserve">Odpad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114"/>
        <w:pBdr/>
        <w:spacing w:line="276" w:lineRule="auto"/>
        <w:ind/>
        <w:rPr>
          <w:highlight w:val="none"/>
        </w:rPr>
      </w:pPr>
      <w:r>
        <w:tab/>
        <w:t xml:space="preserve">Odvoz a likvidace odpadu v souladu s platnou legislativou, zhotovitel předloží doklady o l</w:t>
      </w:r>
      <w:r>
        <w:t xml:space="preserve">i</w:t>
      </w:r>
      <w:r>
        <w:t xml:space="preserve">kvidaci odpadu</w:t>
      </w:r>
      <w:r>
        <w:rPr>
          <w:highlight w:val="none"/>
        </w:rPr>
      </w:r>
      <w:r>
        <w:rPr>
          <w:highlight w:val="none"/>
        </w:rPr>
      </w:r>
    </w:p>
    <w:p>
      <w:pPr>
        <w:pStyle w:val="1114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73"/>
        <w:numPr>
          <w:ilvl w:val="0"/>
          <w:numId w:val="18"/>
        </w:numPr>
        <w:pBdr/>
        <w:spacing w:line="276" w:lineRule="auto"/>
        <w:ind/>
        <w:jc w:val="left"/>
        <w:rPr/>
      </w:pPr>
      <w:r>
        <w:rPr>
          <w:i/>
          <w:u w:val="single"/>
        </w:rPr>
        <w:t xml:space="preserve">Uvedení do původního stavu</w:t>
      </w:r>
      <w:r>
        <w:t xml:space="preserve"> </w:t>
      </w:r>
      <w:r/>
    </w:p>
    <w:p>
      <w:pPr>
        <w:pStyle w:val="1073"/>
        <w:pBdr/>
        <w:spacing w:line="276" w:lineRule="auto"/>
        <w:ind/>
        <w:jc w:val="left"/>
        <w:rPr>
          <w:highlight w:val="none"/>
        </w:rPr>
      </w:pPr>
      <w:r>
        <w:tab/>
        <w:t xml:space="preserve">Zhotovitel provede obslužné komunikace a přilehlé prostory do původního stavu, či dle návrhu terénních úprav dle PD. </w:t>
      </w:r>
      <w:r>
        <w:rPr>
          <w:highlight w:val="none"/>
        </w:rPr>
      </w:r>
      <w:r>
        <w:rPr>
          <w:highlight w:val="none"/>
        </w:rPr>
      </w:r>
    </w:p>
    <w:p>
      <w:pPr>
        <w:pStyle w:val="1073"/>
        <w:pBdr/>
        <w:spacing w:line="276" w:lineRule="auto"/>
        <w:ind/>
        <w:jc w:val="left"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73"/>
        <w:numPr>
          <w:ilvl w:val="0"/>
          <w:numId w:val="15"/>
        </w:numPr>
        <w:pBdr/>
        <w:spacing w:line="276" w:lineRule="auto"/>
        <w:ind/>
        <w:jc w:val="left"/>
        <w:rPr>
          <w:i/>
          <w:u w:val="single"/>
        </w:rPr>
      </w:pPr>
      <w:r>
        <w:rPr>
          <w:i/>
          <w:u w:val="single"/>
        </w:rPr>
        <w:t xml:space="preserve">Provizorní zásobování obyvatel během stavby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073"/>
        <w:pBdr/>
        <w:spacing w:line="276" w:lineRule="auto"/>
        <w:ind/>
        <w:rPr>
          <w:highlight w:val="none"/>
        </w:rPr>
      </w:pPr>
      <w:r>
        <w:tab/>
        <w:t xml:space="preserve">Netýká se. </w:t>
      </w:r>
      <w:r>
        <w:rPr>
          <w:highlight w:val="none"/>
        </w:rPr>
      </w:r>
      <w:r>
        <w:rPr>
          <w:highlight w:val="none"/>
        </w:rPr>
      </w:r>
    </w:p>
    <w:p>
      <w:pPr>
        <w:pStyle w:val="1073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73"/>
        <w:pBdr/>
        <w:spacing w:line="276" w:lineRule="auto"/>
        <w:ind/>
        <w:rPr/>
      </w:pPr>
      <w:r/>
      <w:r/>
    </w:p>
    <w:p>
      <w:pPr>
        <w:pStyle w:val="1073"/>
        <w:pBdr/>
        <w:spacing w:line="276" w:lineRule="auto"/>
        <w:ind/>
        <w:rPr/>
      </w:pPr>
      <w:r/>
      <w:r/>
    </w:p>
    <w:p>
      <w:pPr>
        <w:pStyle w:val="1073"/>
        <w:pBdr/>
        <w:spacing w:line="276" w:lineRule="auto"/>
        <w:ind/>
        <w:rPr/>
      </w:pPr>
      <w:r>
        <w:t xml:space="preserve">V Praze, červen 2025</w:t>
        <w:tab/>
        <w:tab/>
        <w:tab/>
        <w:tab/>
        <w:tab/>
        <w:tab/>
        <w:tab/>
        <w:tab/>
        <w:t xml:space="preserve">Vypracovala: Ing. Pittnerová</w:t>
      </w:r>
      <w:r/>
    </w:p>
    <w:sectPr>
      <w:headerReference w:type="default" r:id="rId9"/>
      <w:footerReference w:type="default" r:id="rId10"/>
      <w:footnotePr/>
      <w:endnotePr/>
      <w:type w:val="nextPage"/>
      <w:pgSz w:h="16840" w:orient="portrait" w:w="11907"/>
      <w:pgMar w:top="1701" w:right="1134" w:bottom="1701" w:left="1418" w:header="680" w:footer="96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10000000000000000"/>
  </w:font>
  <w:font w:name="Calibri Light">
    <w:panose1 w:val="020F0502020204030204"/>
  </w:font>
  <w:font w:name="SuperFrench">
    <w:panose1 w:val="05040102010807070707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7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pacing/>
      <w:ind/>
      <w:rPr>
        <w:rFonts w:cs="Arial"/>
        <w:i/>
        <w:sz w:val="20"/>
      </w:rPr>
    </w:pPr>
    <w:r>
      <w:rPr>
        <w:rFonts w:cs="Arial"/>
        <w:i/>
        <w:sz w:val="20"/>
      </w:rPr>
      <w:t xml:space="preserve">Vodohospodářské inženýrské služby a.s.</w:t>
      <w:tab/>
      <w:t xml:space="preserve">1</w:t>
      <w:tab/>
    </w:r>
    <w:r>
      <w:rPr>
        <w:rFonts w:cs="Arial"/>
        <w:i/>
        <w:sz w:val="20"/>
      </w:rPr>
      <w:t xml:space="preserve">červen</w:t>
    </w:r>
    <w:r>
      <w:rPr>
        <w:rFonts w:cs="Arial"/>
        <w:i/>
        <w:sz w:val="20"/>
      </w:rPr>
      <w:t xml:space="preserve">, 2025</w:t>
    </w:r>
    <w:r>
      <w:rPr>
        <w:rFonts w:cs="Arial"/>
        <w:i/>
        <w:sz w:val="20"/>
      </w:rPr>
    </w:r>
    <w:r>
      <w:rPr>
        <w:rFonts w:cs="Arial"/>
        <w:i/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6"/>
      <w:pBdr/>
      <w:spacing/>
      <w:ind/>
      <w:rPr>
        <w:i/>
      </w:rPr>
    </w:pPr>
    <w:r>
      <w:rPr>
        <w:i/>
      </w:rPr>
      <w:t xml:space="preserve">ČOV Třebotov – navýšení kapacity</w:t>
      <w:tab/>
      <w:tab/>
    </w:r>
    <w:r>
      <w:rPr>
        <w:i/>
      </w:rPr>
      <w:t xml:space="preserve">D.1.00 TECHNICKÁ ZPRÁVA</w:t>
    </w:r>
    <w:r>
      <w:rPr>
        <w:i/>
      </w:rPr>
    </w:r>
    <w:r>
      <w:rPr>
        <w:i/>
      </w:rPr>
    </w:r>
  </w:p>
  <w:p>
    <w:pPr>
      <w:pStyle w:val="1086"/>
      <w:pBdr/>
      <w:spacing/>
      <w:ind/>
      <w:rPr>
        <w:i/>
      </w:rPr>
    </w:pPr>
    <w:r>
      <w:rPr>
        <w:i/>
      </w:rPr>
      <w:t xml:space="preserve">Dokumentace pro provedení stavby (DPS)</w:t>
      <w:tab/>
      <w:tab/>
      <w:t xml:space="preserve">č. zak. 3/25-005</w:t>
    </w:r>
    <w:r>
      <w:rPr>
        <w:i/>
      </w:rPr>
    </w:r>
    <w:r>
      <w:rPr>
        <w:i/>
      </w:rPr>
    </w:r>
  </w:p>
  <w:p>
    <w:pPr>
      <w:pStyle w:val="1073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pStyle w:val="1074"/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pStyle w:val="1075"/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pStyle w:val="1076"/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pStyle w:val="1077"/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pStyle w:val="1081"/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pStyle w:val="1082"/>
      <w:rPr/>
      <w:start w:val="0"/>
      <w:suff w:val="tab"/>
    </w:lvl>
  </w:abstractNum>
  <w:abstractNum w:abstractNumId="1">
    <w:nsid w:val="01246A2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">
    <w:nsid w:val="012F179C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079218FF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4">
    <w:nsid w:val="0A797CB8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0AD122A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">
    <w:nsid w:val="0B0D2E25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0FF84C3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8">
    <w:nsid w:val="101817E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9">
    <w:nsid w:val="1034568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0">
    <w:nsid w:val="10FB1C97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1">
    <w:nsid w:val="132B1F7B"/>
    <w:lvl w:ilvl="0">
      <w:isLgl w:val="false"/>
      <w:lvlJc w:val="left"/>
      <w:lvlText w:val="%1)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)"/>
      <w:numFmt w:val="lowerLetter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3)"/>
      <w:numFmt w:val="lowerRoman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3">
      <w:isLgl w:val="false"/>
      <w:lvlJc w:val="left"/>
      <w:lvlText w:val="(%4)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4">
      <w:isLgl w:val="false"/>
      <w:lvlJc w:val="left"/>
      <w:lvlText w:val="(%5)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5">
      <w:isLgl w:val="false"/>
      <w:lvlJc w:val="left"/>
      <w:lvlText w:val="(%6)"/>
      <w:numFmt w:val="lowerRoman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8">
      <w:isLgl w:val="false"/>
      <w:lvlJc w:val="left"/>
      <w:lvlText w:val="%9."/>
      <w:numFmt w:val="lowerRoman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</w:abstractNum>
  <w:abstractNum w:abstractNumId="12">
    <w:nsid w:val="16475B73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3">
    <w:nsid w:val="19643B0C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4">
    <w:nsid w:val="1BC1716D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15">
    <w:nsid w:val="1C0B7C60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6">
    <w:nsid w:val="1C1D452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7">
    <w:nsid w:val="1DA44F2C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8">
    <w:nsid w:val="1E217C2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9">
    <w:nsid w:val="1ED33ACD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0">
    <w:nsid w:val="1F693A9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Symbol" w:hAnsi="Symbol"/>
        <w:sz w:val="20"/>
      </w:rPr>
      <w:start w:val="1"/>
      <w:suff w:val="tab"/>
    </w:lvl>
  </w:abstractNum>
  <w:abstractNum w:abstractNumId="21">
    <w:nsid w:val="2C3E06F0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2">
    <w:nsid w:val="2DFF559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3">
    <w:nsid w:val="30142A8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4">
    <w:nsid w:val="30323C7D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5">
    <w:nsid w:val="38D161E1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6">
    <w:nsid w:val="393A1E5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7">
    <w:nsid w:val="46C3657D"/>
    <w:lvl w:ilvl="0">
      <w:isLgl w:val="false"/>
      <w:lvlJc w:val="left"/>
      <w:lvlText w:val="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ascii="Courier New" w:hAnsi="Courier New" w:cs="SuperFrench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ascii="Courier New" w:hAnsi="Courier New" w:cs="SuperFrench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ascii="Courier New" w:hAnsi="Courier New" w:cs="SuperFrench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40"/>
        </w:tabs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28">
    <w:nsid w:val="47204D3E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9">
    <w:nsid w:val="49D65ED4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0">
    <w:nsid w:val="4C9A73D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1">
    <w:nsid w:val="5507291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2">
    <w:nsid w:val="60A5756A"/>
    <w:lvl w:ilvl="0">
      <w:isLgl w:val="false"/>
      <w:lvlJc w:val="left"/>
      <w:lvlText w:val="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ascii="Courier New" w:hAnsi="Courier New" w:cs="SuperFrench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ascii="Courier New" w:hAnsi="Courier New" w:cs="SuperFrench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ascii="Courier New" w:hAnsi="Courier New" w:cs="SuperFrench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40"/>
        </w:tabs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33">
    <w:nsid w:val="63934724"/>
    <w:lvl w:ilvl="0">
      <w:isLgl w:val="false"/>
      <w:lvlJc w:val="left"/>
      <w:lvlText w:val="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ascii="Courier New" w:hAnsi="Courier New" w:cs="SuperFrench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ascii="Courier New" w:hAnsi="Courier New" w:cs="SuperFrench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ascii="Courier New" w:hAnsi="Courier New" w:cs="SuperFrench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40"/>
        </w:tabs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34">
    <w:nsid w:val="65CD4200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5">
    <w:nsid w:val="6A88238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6">
    <w:nsid w:val="6D31522F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7">
    <w:nsid w:val="6E046B32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8">
    <w:nsid w:val="6E0630F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9">
    <w:nsid w:val="713E2A3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0">
    <w:nsid w:val="73D90B30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1">
    <w:nsid w:val="751B663E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2">
    <w:nsid w:val="77CA3F5B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3">
    <w:nsid w:val="7937076B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4">
    <w:nsid w:val="7AC82E83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5">
    <w:nsid w:val="7B147D58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6">
    <w:nsid w:val="7C6A3DAE"/>
    <w:lvl w:ilvl="0">
      <w:isLgl w:val="false"/>
      <w:lvlJc w:val="left"/>
      <w:lvlText w:val="%1)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)"/>
      <w:numFmt w:val="lowerLetter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3)"/>
      <w:numFmt w:val="lowerRoman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3">
      <w:isLgl w:val="false"/>
      <w:lvlJc w:val="left"/>
      <w:lvlText w:val="(%4)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4">
      <w:isLgl w:val="false"/>
      <w:lvlJc w:val="left"/>
      <w:lvlText w:val="(%5)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5">
      <w:isLgl w:val="false"/>
      <w:lvlJc w:val="left"/>
      <w:lvlText w:val="(%6)"/>
      <w:numFmt w:val="lowerRoman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8">
      <w:isLgl w:val="false"/>
      <w:lvlJc w:val="left"/>
      <w:lvlText w:val="%9."/>
      <w:numFmt w:val="lowerRoman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</w:abstractNum>
  <w:abstractNum w:abstractNumId="47">
    <w:nsid w:val="7D964214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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Wingdings" w:hAnsi="Wingdings"/>
      </w:rPr>
      <w:start w:val="1"/>
      <w:suff w:val="tab"/>
    </w:lvl>
    <w:lvl w:ilvl="2">
      <w:isLgl w:val="false"/>
      <w:lvlJc w:val="left"/>
      <w:lvlText w:val="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8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49">
    <w:nsid w:val="4B334B7C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0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1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2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3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4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5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6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7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8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9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0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1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2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3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4">
    <w:nsid w:val="1E217C2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5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6">
    <w:nsid w:val="1E217C2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7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8">
    <w:nsid w:val="1E217C2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9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0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1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2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17"/>
  </w:num>
  <w:num w:numId="3">
    <w:abstractNumId w:val="4"/>
  </w:num>
  <w:num w:numId="4">
    <w:abstractNumId w:val="44"/>
  </w:num>
  <w:num w:numId="5">
    <w:abstractNumId w:val="15"/>
  </w:num>
  <w:num w:numId="6">
    <w:abstractNumId w:val="19"/>
  </w:num>
  <w:num w:numId="7">
    <w:abstractNumId w:val="42"/>
  </w:num>
  <w:num w:numId="8">
    <w:abstractNumId w:val="24"/>
  </w:num>
  <w:num w:numId="9">
    <w:abstractNumId w:val="28"/>
  </w:num>
  <w:num w:numId="10">
    <w:abstractNumId w:val="45"/>
  </w:num>
  <w:num w:numId="11">
    <w:abstractNumId w:val="10"/>
  </w:num>
  <w:num w:numId="12">
    <w:abstractNumId w:val="6"/>
  </w:num>
  <w:num w:numId="13">
    <w:abstractNumId w:val="2"/>
  </w:num>
  <w:num w:numId="14">
    <w:abstractNumId w:val="41"/>
  </w:num>
  <w:num w:numId="15">
    <w:abstractNumId w:val="23"/>
  </w:num>
  <w:num w:numId="16">
    <w:abstractNumId w:val="13"/>
  </w:num>
  <w:num w:numId="17">
    <w:abstractNumId w:val="40"/>
  </w:num>
  <w:num w:numId="18">
    <w:abstractNumId w:val="47"/>
  </w:num>
  <w:num w:numId="19">
    <w:abstractNumId w:val="46"/>
  </w:num>
  <w:num w:numId="20">
    <w:abstractNumId w:val="11"/>
  </w:num>
  <w:num w:numId="21">
    <w:abstractNumId w:val="32"/>
  </w:num>
  <w:num w:numId="22">
    <w:abstractNumId w:val="33"/>
  </w:num>
  <w:num w:numId="23">
    <w:abstractNumId w:val="27"/>
  </w:num>
  <w:num w:numId="24">
    <w:abstractNumId w:val="9"/>
  </w:num>
  <w:num w:numId="25">
    <w:abstractNumId w:val="16"/>
  </w:num>
  <w:num w:numId="26">
    <w:abstractNumId w:val="30"/>
  </w:num>
  <w:num w:numId="27">
    <w:abstractNumId w:val="36"/>
  </w:num>
  <w:num w:numId="28">
    <w:abstractNumId w:val="7"/>
  </w:num>
  <w:num w:numId="29">
    <w:abstractNumId w:val="35"/>
  </w:num>
  <w:num w:numId="30">
    <w:abstractNumId w:val="26"/>
  </w:num>
  <w:num w:numId="31">
    <w:abstractNumId w:val="31"/>
  </w:num>
  <w:num w:numId="32">
    <w:abstractNumId w:val="38"/>
  </w:num>
  <w:num w:numId="33">
    <w:abstractNumId w:val="22"/>
  </w:num>
  <w:num w:numId="34">
    <w:abstractNumId w:val="5"/>
  </w:num>
  <w:num w:numId="35">
    <w:abstractNumId w:val="34"/>
  </w:num>
  <w:num w:numId="36">
    <w:abstractNumId w:val="3"/>
  </w:num>
  <w:num w:numId="37">
    <w:abstractNumId w:val="39"/>
  </w:num>
  <w:num w:numId="38">
    <w:abstractNumId w:val="1"/>
  </w:num>
  <w:num w:numId="39">
    <w:abstractNumId w:val="14"/>
  </w:num>
  <w:num w:numId="40">
    <w:abstractNumId w:val="29"/>
  </w:num>
  <w:num w:numId="41">
    <w:abstractNumId w:val="8"/>
  </w:num>
  <w:num w:numId="42">
    <w:abstractNumId w:val="12"/>
  </w:num>
  <w:num w:numId="43">
    <w:abstractNumId w:val="37"/>
  </w:num>
  <w:num w:numId="44">
    <w:abstractNumId w:val="25"/>
  </w:num>
  <w:num w:numId="45">
    <w:abstractNumId w:val="43"/>
  </w:num>
  <w:num w:numId="46">
    <w:abstractNumId w:val="20"/>
  </w:num>
  <w:num w:numId="47">
    <w:abstractNumId w:val="18"/>
  </w:num>
  <w:num w:numId="48">
    <w:abstractNumId w:val="21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cs-CZ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11">
    <w:name w:val="Heading 1"/>
    <w:basedOn w:val="1073"/>
    <w:next w:val="1073"/>
    <w:link w:val="1022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012">
    <w:name w:val="Heading 2"/>
    <w:basedOn w:val="1073"/>
    <w:next w:val="1073"/>
    <w:link w:val="1023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013">
    <w:name w:val="Heading 3"/>
    <w:basedOn w:val="1073"/>
    <w:next w:val="1073"/>
    <w:link w:val="1024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014">
    <w:name w:val="Heading 4"/>
    <w:basedOn w:val="1073"/>
    <w:next w:val="1073"/>
    <w:link w:val="102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15">
    <w:name w:val="Heading 5"/>
    <w:basedOn w:val="1073"/>
    <w:next w:val="1073"/>
    <w:link w:val="102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16">
    <w:name w:val="Heading 6"/>
    <w:basedOn w:val="1073"/>
    <w:next w:val="1073"/>
    <w:link w:val="102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17">
    <w:name w:val="Heading 7"/>
    <w:basedOn w:val="1073"/>
    <w:next w:val="1073"/>
    <w:link w:val="102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18">
    <w:name w:val="Heading 8"/>
    <w:basedOn w:val="1073"/>
    <w:next w:val="1073"/>
    <w:link w:val="102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19">
    <w:name w:val="Heading 9"/>
    <w:basedOn w:val="1073"/>
    <w:next w:val="1073"/>
    <w:link w:val="103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20" w:default="1">
    <w:name w:val="Default Paragraph Font"/>
    <w:uiPriority w:val="1"/>
    <w:semiHidden/>
    <w:unhideWhenUsed/>
    <w:pPr>
      <w:pBdr/>
      <w:spacing/>
      <w:ind/>
    </w:pPr>
  </w:style>
  <w:style w:type="numbering" w:styleId="1021" w:default="1">
    <w:name w:val="No List"/>
    <w:uiPriority w:val="99"/>
    <w:semiHidden/>
    <w:unhideWhenUsed/>
    <w:pPr>
      <w:pBdr/>
      <w:spacing/>
      <w:ind/>
    </w:pPr>
  </w:style>
  <w:style w:type="character" w:styleId="1022">
    <w:name w:val="Heading 1 Char"/>
    <w:basedOn w:val="1020"/>
    <w:link w:val="10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23">
    <w:name w:val="Heading 2 Char"/>
    <w:basedOn w:val="1020"/>
    <w:link w:val="10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24">
    <w:name w:val="Heading 3 Char"/>
    <w:basedOn w:val="1020"/>
    <w:link w:val="10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25">
    <w:name w:val="Heading 4 Char"/>
    <w:basedOn w:val="1020"/>
    <w:link w:val="101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26">
    <w:name w:val="Heading 5 Char"/>
    <w:basedOn w:val="1020"/>
    <w:link w:val="10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27">
    <w:name w:val="Heading 6 Char"/>
    <w:basedOn w:val="1020"/>
    <w:link w:val="101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28">
    <w:name w:val="Heading 7 Char"/>
    <w:basedOn w:val="1020"/>
    <w:link w:val="101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29">
    <w:name w:val="Heading 8 Char"/>
    <w:basedOn w:val="1020"/>
    <w:link w:val="101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>
    <w:name w:val="Heading 9 Char"/>
    <w:basedOn w:val="1020"/>
    <w:link w:val="101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1">
    <w:name w:val="Title"/>
    <w:basedOn w:val="1073"/>
    <w:next w:val="1073"/>
    <w:link w:val="103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32">
    <w:name w:val="Title Char"/>
    <w:basedOn w:val="1020"/>
    <w:link w:val="103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33">
    <w:name w:val="Subtitle"/>
    <w:basedOn w:val="1073"/>
    <w:next w:val="1073"/>
    <w:link w:val="103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34">
    <w:name w:val="Subtitle Char"/>
    <w:basedOn w:val="1020"/>
    <w:link w:val="103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35">
    <w:name w:val="Quote"/>
    <w:basedOn w:val="1073"/>
    <w:next w:val="1073"/>
    <w:link w:val="103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36">
    <w:name w:val="Quote Char"/>
    <w:basedOn w:val="1020"/>
    <w:link w:val="1035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037">
    <w:name w:val="List Paragraph"/>
    <w:basedOn w:val="1073"/>
    <w:uiPriority w:val="34"/>
    <w:qFormat/>
    <w:pPr>
      <w:pBdr/>
      <w:spacing/>
      <w:ind w:left="720"/>
      <w:contextualSpacing w:val="true"/>
    </w:pPr>
  </w:style>
  <w:style w:type="character" w:styleId="1038">
    <w:name w:val="Intense Emphasis"/>
    <w:basedOn w:val="102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39">
    <w:name w:val="Intense Quote"/>
    <w:basedOn w:val="1073"/>
    <w:next w:val="1073"/>
    <w:link w:val="104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0">
    <w:name w:val="Intense Quote Char"/>
    <w:basedOn w:val="1020"/>
    <w:link w:val="103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1">
    <w:name w:val="Intense Reference"/>
    <w:basedOn w:val="102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042">
    <w:name w:val="No Spacing"/>
    <w:basedOn w:val="1073"/>
    <w:uiPriority w:val="1"/>
    <w:qFormat/>
    <w:pPr>
      <w:pBdr/>
      <w:spacing w:after="0" w:line="240" w:lineRule="auto"/>
      <w:ind/>
    </w:pPr>
  </w:style>
  <w:style w:type="character" w:styleId="1043">
    <w:name w:val="Subtle Emphasis"/>
    <w:basedOn w:val="102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44">
    <w:name w:val="Emphasis"/>
    <w:basedOn w:val="1020"/>
    <w:uiPriority w:val="20"/>
    <w:qFormat/>
    <w:pPr>
      <w:pBdr/>
      <w:spacing/>
      <w:ind/>
    </w:pPr>
    <w:rPr>
      <w:i/>
      <w:iCs/>
    </w:rPr>
  </w:style>
  <w:style w:type="character" w:styleId="1045">
    <w:name w:val="Strong"/>
    <w:basedOn w:val="1020"/>
    <w:uiPriority w:val="22"/>
    <w:qFormat/>
    <w:pPr>
      <w:pBdr/>
      <w:spacing/>
      <w:ind/>
    </w:pPr>
    <w:rPr>
      <w:b/>
      <w:bCs/>
    </w:rPr>
  </w:style>
  <w:style w:type="character" w:styleId="1046">
    <w:name w:val="Subtle Reference"/>
    <w:basedOn w:val="102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47">
    <w:name w:val="Book Title"/>
    <w:basedOn w:val="102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48">
    <w:name w:val="Header"/>
    <w:basedOn w:val="1073"/>
    <w:link w:val="104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49">
    <w:name w:val="Header Char"/>
    <w:basedOn w:val="1020"/>
    <w:link w:val="1048"/>
    <w:uiPriority w:val="99"/>
    <w:pPr>
      <w:pBdr/>
      <w:spacing/>
      <w:ind/>
    </w:pPr>
  </w:style>
  <w:style w:type="paragraph" w:styleId="1050">
    <w:name w:val="Footer"/>
    <w:basedOn w:val="1073"/>
    <w:link w:val="105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51">
    <w:name w:val="Footer Char"/>
    <w:basedOn w:val="1020"/>
    <w:link w:val="1050"/>
    <w:uiPriority w:val="99"/>
    <w:pPr>
      <w:pBdr/>
      <w:spacing/>
      <w:ind/>
    </w:pPr>
  </w:style>
  <w:style w:type="paragraph" w:styleId="1052">
    <w:name w:val="Caption"/>
    <w:basedOn w:val="1073"/>
    <w:next w:val="107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053">
    <w:name w:val="footnote text"/>
    <w:basedOn w:val="1073"/>
    <w:link w:val="10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4">
    <w:name w:val="Footnote Text Char"/>
    <w:basedOn w:val="1020"/>
    <w:link w:val="1053"/>
    <w:uiPriority w:val="99"/>
    <w:semiHidden/>
    <w:pPr>
      <w:pBdr/>
      <w:spacing/>
      <w:ind/>
    </w:pPr>
    <w:rPr>
      <w:sz w:val="20"/>
      <w:szCs w:val="20"/>
    </w:rPr>
  </w:style>
  <w:style w:type="character" w:styleId="1055">
    <w:name w:val="footnote reference"/>
    <w:basedOn w:val="1020"/>
    <w:uiPriority w:val="99"/>
    <w:semiHidden/>
    <w:unhideWhenUsed/>
    <w:pPr>
      <w:pBdr/>
      <w:spacing/>
      <w:ind/>
    </w:pPr>
    <w:rPr>
      <w:vertAlign w:val="superscript"/>
    </w:rPr>
  </w:style>
  <w:style w:type="paragraph" w:styleId="1056">
    <w:name w:val="endnote text"/>
    <w:basedOn w:val="1073"/>
    <w:link w:val="105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7">
    <w:name w:val="Endnote Text Char"/>
    <w:basedOn w:val="1020"/>
    <w:link w:val="1056"/>
    <w:uiPriority w:val="99"/>
    <w:semiHidden/>
    <w:pPr>
      <w:pBdr/>
      <w:spacing/>
      <w:ind/>
    </w:pPr>
    <w:rPr>
      <w:sz w:val="20"/>
      <w:szCs w:val="20"/>
    </w:rPr>
  </w:style>
  <w:style w:type="character" w:styleId="1058">
    <w:name w:val="endnote reference"/>
    <w:basedOn w:val="1020"/>
    <w:uiPriority w:val="99"/>
    <w:semiHidden/>
    <w:unhideWhenUsed/>
    <w:pPr>
      <w:pBdr/>
      <w:spacing/>
      <w:ind/>
    </w:pPr>
    <w:rPr>
      <w:vertAlign w:val="superscript"/>
    </w:rPr>
  </w:style>
  <w:style w:type="character" w:styleId="1059">
    <w:name w:val="Hyperlink"/>
    <w:basedOn w:val="102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60">
    <w:name w:val="FollowedHyperlink"/>
    <w:basedOn w:val="102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1">
    <w:name w:val="toc 1"/>
    <w:basedOn w:val="1073"/>
    <w:next w:val="1073"/>
    <w:uiPriority w:val="39"/>
    <w:unhideWhenUsed/>
    <w:pPr>
      <w:pBdr/>
      <w:spacing w:after="100"/>
      <w:ind/>
    </w:pPr>
  </w:style>
  <w:style w:type="paragraph" w:styleId="1062">
    <w:name w:val="toc 2"/>
    <w:basedOn w:val="1073"/>
    <w:next w:val="1073"/>
    <w:uiPriority w:val="39"/>
    <w:unhideWhenUsed/>
    <w:pPr>
      <w:pBdr/>
      <w:spacing w:after="100"/>
      <w:ind w:left="220"/>
    </w:pPr>
  </w:style>
  <w:style w:type="paragraph" w:styleId="1063">
    <w:name w:val="toc 3"/>
    <w:basedOn w:val="1073"/>
    <w:next w:val="1073"/>
    <w:uiPriority w:val="39"/>
    <w:unhideWhenUsed/>
    <w:pPr>
      <w:pBdr/>
      <w:spacing w:after="100"/>
      <w:ind w:left="440"/>
    </w:pPr>
  </w:style>
  <w:style w:type="paragraph" w:styleId="1064">
    <w:name w:val="toc 4"/>
    <w:basedOn w:val="1073"/>
    <w:next w:val="1073"/>
    <w:uiPriority w:val="39"/>
    <w:unhideWhenUsed/>
    <w:pPr>
      <w:pBdr/>
      <w:spacing w:after="100"/>
      <w:ind w:left="660"/>
    </w:pPr>
  </w:style>
  <w:style w:type="paragraph" w:styleId="1065">
    <w:name w:val="toc 5"/>
    <w:basedOn w:val="1073"/>
    <w:next w:val="1073"/>
    <w:uiPriority w:val="39"/>
    <w:unhideWhenUsed/>
    <w:pPr>
      <w:pBdr/>
      <w:spacing w:after="100"/>
      <w:ind w:left="880"/>
    </w:pPr>
  </w:style>
  <w:style w:type="paragraph" w:styleId="1066">
    <w:name w:val="toc 6"/>
    <w:basedOn w:val="1073"/>
    <w:next w:val="1073"/>
    <w:uiPriority w:val="39"/>
    <w:unhideWhenUsed/>
    <w:pPr>
      <w:pBdr/>
      <w:spacing w:after="100"/>
      <w:ind w:left="1100"/>
    </w:pPr>
  </w:style>
  <w:style w:type="paragraph" w:styleId="1067">
    <w:name w:val="toc 7"/>
    <w:basedOn w:val="1073"/>
    <w:next w:val="1073"/>
    <w:uiPriority w:val="39"/>
    <w:unhideWhenUsed/>
    <w:pPr>
      <w:pBdr/>
      <w:spacing w:after="100"/>
      <w:ind w:left="1320"/>
    </w:pPr>
  </w:style>
  <w:style w:type="paragraph" w:styleId="1068">
    <w:name w:val="toc 8"/>
    <w:basedOn w:val="1073"/>
    <w:next w:val="1073"/>
    <w:uiPriority w:val="39"/>
    <w:unhideWhenUsed/>
    <w:pPr>
      <w:pBdr/>
      <w:spacing w:after="100"/>
      <w:ind w:left="1540"/>
    </w:pPr>
  </w:style>
  <w:style w:type="paragraph" w:styleId="1069">
    <w:name w:val="toc 9"/>
    <w:basedOn w:val="1073"/>
    <w:next w:val="1073"/>
    <w:uiPriority w:val="39"/>
    <w:unhideWhenUsed/>
    <w:pPr>
      <w:pBdr/>
      <w:spacing w:after="100"/>
      <w:ind w:left="1760"/>
    </w:pPr>
  </w:style>
  <w:style w:type="character" w:styleId="1070">
    <w:name w:val="Placeholder Text"/>
    <w:basedOn w:val="1020"/>
    <w:uiPriority w:val="99"/>
    <w:semiHidden/>
    <w:pPr>
      <w:pBdr/>
      <w:spacing/>
      <w:ind/>
    </w:pPr>
    <w:rPr>
      <w:color w:val="666666"/>
    </w:rPr>
  </w:style>
  <w:style w:type="paragraph" w:styleId="1071">
    <w:name w:val="TOC Heading"/>
    <w:uiPriority w:val="39"/>
    <w:unhideWhenUsed/>
    <w:pPr>
      <w:pBdr/>
      <w:spacing/>
      <w:ind/>
    </w:pPr>
  </w:style>
  <w:style w:type="paragraph" w:styleId="1072">
    <w:name w:val="table of figures"/>
    <w:basedOn w:val="1073"/>
    <w:next w:val="1073"/>
    <w:uiPriority w:val="99"/>
    <w:unhideWhenUsed/>
    <w:pPr>
      <w:pBdr/>
      <w:spacing w:after="0" w:afterAutospacing="0"/>
      <w:ind/>
    </w:pPr>
  </w:style>
  <w:style w:type="paragraph" w:styleId="1073" w:default="1">
    <w:name w:val="Normal"/>
    <w:next w:val="1073"/>
    <w:link w:val="1073"/>
    <w:qFormat/>
    <w:pPr>
      <w:pBdr/>
      <w:tabs>
        <w:tab w:val="left" w:leader="none" w:pos="567"/>
      </w:tabs>
      <w:spacing w:line="360" w:lineRule="auto"/>
      <w:ind/>
      <w:jc w:val="both"/>
    </w:pPr>
    <w:rPr>
      <w:rFonts w:ascii="Arial" w:hAnsi="Arial"/>
      <w:sz w:val="22"/>
      <w:lang w:val="cs-CZ" w:eastAsia="cs-CZ" w:bidi="ar-SA"/>
    </w:rPr>
  </w:style>
  <w:style w:type="paragraph" w:styleId="1074">
    <w:name w:val="Nadpis 1"/>
    <w:basedOn w:val="1073"/>
    <w:next w:val="1073"/>
    <w:link w:val="1073"/>
    <w:qFormat/>
    <w:pPr>
      <w:keepNext w:val="true"/>
      <w:numPr>
        <w:ilvl w:val="0"/>
        <w:numId w:val="1"/>
      </w:numPr>
      <w:pBdr/>
      <w:spacing w:after="280" w:before="400"/>
      <w:ind/>
      <w:jc w:val="left"/>
      <w:outlineLvl w:val="0"/>
    </w:pPr>
    <w:rPr>
      <w:b/>
      <w:caps/>
      <w:sz w:val="28"/>
      <w:u w:val="single"/>
    </w:rPr>
  </w:style>
  <w:style w:type="paragraph" w:styleId="1075">
    <w:name w:val="Nadpis 2"/>
    <w:basedOn w:val="1073"/>
    <w:next w:val="1073"/>
    <w:link w:val="1073"/>
    <w:qFormat/>
    <w:pPr>
      <w:keepNext w:val="true"/>
      <w:numPr>
        <w:ilvl w:val="1"/>
        <w:numId w:val="1"/>
      </w:numPr>
      <w:pBdr/>
      <w:spacing w:after="240" w:before="360"/>
      <w:ind/>
      <w:outlineLvl w:val="1"/>
    </w:pPr>
    <w:rPr>
      <w:b/>
      <w:caps/>
      <w:sz w:val="28"/>
      <w:u w:val="single"/>
    </w:rPr>
  </w:style>
  <w:style w:type="paragraph" w:styleId="1076">
    <w:name w:val="Nadpis 3"/>
    <w:basedOn w:val="1075"/>
    <w:next w:val="1073"/>
    <w:link w:val="1073"/>
    <w:qFormat/>
    <w:pPr>
      <w:numPr>
        <w:ilvl w:val="2"/>
        <w:numId w:val="1"/>
      </w:numPr>
      <w:pBdr/>
      <w:spacing/>
      <w:ind/>
      <w:outlineLvl w:val="2"/>
    </w:pPr>
    <w:rPr>
      <w:sz w:val="24"/>
    </w:rPr>
  </w:style>
  <w:style w:type="paragraph" w:styleId="1077">
    <w:name w:val="Nadpis 4"/>
    <w:basedOn w:val="1073"/>
    <w:next w:val="1073"/>
    <w:link w:val="1117"/>
    <w:qFormat/>
    <w:pPr>
      <w:keepNext w:val="true"/>
      <w:numPr>
        <w:ilvl w:val="3"/>
        <w:numId w:val="1"/>
      </w:numPr>
      <w:pBdr/>
      <w:tabs>
        <w:tab w:val="left" w:leader="none" w:pos="284"/>
        <w:tab w:val="left" w:leader="none" w:pos="851"/>
        <w:tab w:val="left" w:leader="none" w:pos="1134"/>
        <w:tab w:val="left" w:leader="none" w:pos="1418"/>
        <w:tab w:val="left" w:leader="none" w:pos="1701"/>
      </w:tabs>
      <w:spacing w:after="60" w:before="120" w:line="312" w:lineRule="auto"/>
      <w:ind/>
      <w:jc w:val="left"/>
      <w:outlineLvl w:val="3"/>
    </w:pPr>
    <w:rPr>
      <w:b/>
      <w:i/>
      <w:sz w:val="24"/>
      <w:u w:val="single"/>
    </w:rPr>
  </w:style>
  <w:style w:type="paragraph" w:styleId="1078">
    <w:name w:val="Nadpis 5"/>
    <w:basedOn w:val="1073"/>
    <w:next w:val="1073"/>
    <w:link w:val="1073"/>
    <w:qFormat/>
    <w:pPr>
      <w:keepNext w:val="true"/>
      <w:pBdr/>
      <w:spacing/>
      <w:ind/>
      <w:outlineLvl w:val="4"/>
    </w:pPr>
    <w:rPr>
      <w:b/>
      <w:color w:val="ff00ff"/>
    </w:rPr>
  </w:style>
  <w:style w:type="paragraph" w:styleId="1079">
    <w:name w:val="Nadpis 6"/>
    <w:basedOn w:val="1073"/>
    <w:next w:val="1073"/>
    <w:link w:val="1073"/>
    <w:qFormat/>
    <w:pPr>
      <w:keepNext w:val="true"/>
      <w:pBdr/>
      <w:spacing/>
      <w:ind/>
      <w:outlineLvl w:val="5"/>
    </w:pPr>
    <w:rPr>
      <w:b/>
    </w:rPr>
  </w:style>
  <w:style w:type="paragraph" w:styleId="1080">
    <w:name w:val="Nadpis 7"/>
    <w:basedOn w:val="1073"/>
    <w:next w:val="1073"/>
    <w:link w:val="1073"/>
    <w:qFormat/>
    <w:pPr>
      <w:keepNext w:val="true"/>
      <w:pBdr/>
      <w:spacing/>
      <w:ind/>
      <w:outlineLvl w:val="6"/>
    </w:pPr>
    <w:rPr>
      <w:i/>
      <w:u w:val="single"/>
    </w:rPr>
  </w:style>
  <w:style w:type="paragraph" w:styleId="1081">
    <w:name w:val="Nadpis 8"/>
    <w:basedOn w:val="1073"/>
    <w:next w:val="1073"/>
    <w:link w:val="1073"/>
    <w:qFormat/>
    <w:pPr>
      <w:widowControl w:val="false"/>
      <w:numPr>
        <w:ilvl w:val="7"/>
        <w:numId w:val="1"/>
      </w:numPr>
      <w:pBdr/>
      <w:tabs>
        <w:tab w:val="clear" w:leader="none" w:pos="567"/>
      </w:tabs>
      <w:spacing w:after="60" w:before="240" w:line="240" w:lineRule="auto"/>
      <w:ind/>
      <w:outlineLvl w:val="7"/>
    </w:pPr>
    <w:rPr>
      <w:i/>
      <w:sz w:val="24"/>
    </w:rPr>
  </w:style>
  <w:style w:type="paragraph" w:styleId="1082">
    <w:name w:val="Nadpis 9"/>
    <w:basedOn w:val="1073"/>
    <w:next w:val="1073"/>
    <w:link w:val="1073"/>
    <w:qFormat/>
    <w:pPr>
      <w:widowControl w:val="false"/>
      <w:numPr>
        <w:ilvl w:val="8"/>
        <w:numId w:val="1"/>
      </w:numPr>
      <w:pBdr/>
      <w:tabs>
        <w:tab w:val="clear" w:leader="none" w:pos="567"/>
      </w:tabs>
      <w:spacing w:after="60" w:before="240" w:line="240" w:lineRule="auto"/>
      <w:ind/>
      <w:outlineLvl w:val="8"/>
    </w:pPr>
    <w:rPr>
      <w:b/>
      <w:i/>
      <w:sz w:val="18"/>
    </w:rPr>
  </w:style>
  <w:style w:type="character" w:styleId="1083">
    <w:name w:val="Standardní písmo odstavce"/>
    <w:next w:val="1083"/>
    <w:link w:val="1073"/>
    <w:semiHidden/>
    <w:pPr>
      <w:pBdr/>
      <w:spacing/>
      <w:ind/>
    </w:pPr>
  </w:style>
  <w:style w:type="table" w:styleId="1084">
    <w:name w:val="Normální tabulka"/>
    <w:next w:val="1084"/>
    <w:link w:val="1073"/>
    <w:uiPriority w:val="99"/>
    <w:semiHidden/>
    <w:unhideWhenUsed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85">
    <w:name w:val="Bez seznamu"/>
    <w:next w:val="1085"/>
    <w:link w:val="1073"/>
    <w:uiPriority w:val="99"/>
    <w:semiHidden/>
    <w:unhideWhenUsed/>
    <w:pPr>
      <w:pBdr/>
      <w:spacing/>
      <w:ind/>
    </w:pPr>
  </w:style>
  <w:style w:type="paragraph" w:styleId="1086">
    <w:name w:val="Záhlaví"/>
    <w:basedOn w:val="1073"/>
    <w:next w:val="1086"/>
    <w:link w:val="1115"/>
    <w:uiPriority w:val="99"/>
    <w:pPr>
      <w:pBdr/>
      <w:tabs>
        <w:tab w:val="center" w:leader="none" w:pos="4536"/>
        <w:tab w:val="right" w:leader="none" w:pos="9072"/>
      </w:tabs>
      <w:spacing w:line="240" w:lineRule="auto"/>
      <w:ind/>
    </w:pPr>
  </w:style>
  <w:style w:type="paragraph" w:styleId="1087">
    <w:name w:val="Zápatí"/>
    <w:basedOn w:val="1073"/>
    <w:next w:val="1087"/>
    <w:link w:val="1073"/>
    <w:semiHidden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1088">
    <w:name w:val="Číslo stránky"/>
    <w:basedOn w:val="1083"/>
    <w:next w:val="1088"/>
    <w:link w:val="1073"/>
    <w:semiHidden/>
    <w:pPr>
      <w:pBdr/>
      <w:spacing/>
      <w:ind/>
    </w:pPr>
  </w:style>
  <w:style w:type="paragraph" w:styleId="1089">
    <w:name w:val="Obsah 3"/>
    <w:basedOn w:val="1073"/>
    <w:next w:val="1073"/>
    <w:link w:val="1073"/>
    <w:uiPriority w:val="39"/>
    <w:pPr>
      <w:pBdr/>
      <w:tabs>
        <w:tab w:val="right" w:leader="dot" w:pos="9356"/>
      </w:tabs>
      <w:spacing/>
      <w:ind w:left="227"/>
      <w:jc w:val="left"/>
    </w:pPr>
    <w:rPr>
      <w:caps/>
      <w:sz w:val="20"/>
    </w:rPr>
  </w:style>
  <w:style w:type="paragraph" w:styleId="1090">
    <w:name w:val="Obsah 2"/>
    <w:basedOn w:val="1073"/>
    <w:next w:val="1073"/>
    <w:link w:val="1073"/>
    <w:uiPriority w:val="39"/>
    <w:pPr>
      <w:pBdr/>
      <w:tabs>
        <w:tab w:val="right" w:leader="dot" w:pos="9355"/>
      </w:tabs>
      <w:spacing/>
      <w:ind w:left="113"/>
      <w:jc w:val="left"/>
    </w:pPr>
    <w:rPr>
      <w:caps/>
      <w:sz w:val="20"/>
    </w:rPr>
  </w:style>
  <w:style w:type="paragraph" w:styleId="1091">
    <w:name w:val="Obsah 1"/>
    <w:basedOn w:val="1073"/>
    <w:next w:val="1073"/>
    <w:link w:val="1073"/>
    <w:uiPriority w:val="39"/>
    <w:pPr>
      <w:pBdr/>
      <w:tabs>
        <w:tab w:val="right" w:leader="dot" w:pos="9355"/>
      </w:tabs>
      <w:spacing/>
      <w:ind/>
      <w:jc w:val="left"/>
    </w:pPr>
    <w:rPr>
      <w:caps/>
      <w:sz w:val="20"/>
    </w:rPr>
  </w:style>
  <w:style w:type="paragraph" w:styleId="1092">
    <w:name w:val="Obsah 4"/>
    <w:basedOn w:val="1073"/>
    <w:next w:val="1073"/>
    <w:link w:val="1073"/>
    <w:semiHidden/>
    <w:pPr>
      <w:pBdr/>
      <w:tabs>
        <w:tab w:val="right" w:leader="dot" w:pos="9356"/>
      </w:tabs>
      <w:spacing/>
      <w:ind/>
      <w:jc w:val="center"/>
    </w:pPr>
    <w:rPr>
      <w:b/>
      <w:sz w:val="28"/>
    </w:rPr>
  </w:style>
  <w:style w:type="paragraph" w:styleId="1093">
    <w:name w:val="Základní text"/>
    <w:basedOn w:val="1073"/>
    <w:next w:val="1093"/>
    <w:link w:val="1073"/>
    <w:semiHidden/>
    <w:pPr>
      <w:pBdr/>
      <w:spacing/>
      <w:ind/>
    </w:pPr>
    <w:rPr>
      <w:color w:val="ff00ff"/>
    </w:rPr>
  </w:style>
  <w:style w:type="paragraph" w:styleId="1094">
    <w:name w:val="NADPIS"/>
    <w:basedOn w:val="1073"/>
    <w:next w:val="1074"/>
    <w:link w:val="1073"/>
    <w:pPr>
      <w:pBdr/>
      <w:spacing w:after="240" w:before="120"/>
      <w:ind/>
      <w:jc w:val="center"/>
    </w:pPr>
    <w:rPr>
      <w:b/>
      <w:caps/>
      <w:sz w:val="32"/>
      <w:u w:val="single"/>
    </w:rPr>
  </w:style>
  <w:style w:type="paragraph" w:styleId="1095">
    <w:name w:val="Body Text 2"/>
    <w:basedOn w:val="1073"/>
    <w:next w:val="1095"/>
    <w:link w:val="1073"/>
    <w:pPr>
      <w:pBdr/>
      <w:spacing/>
      <w:ind w:left="284"/>
    </w:pPr>
  </w:style>
  <w:style w:type="paragraph" w:styleId="1096">
    <w:name w:val="Body Text Indent 2"/>
    <w:basedOn w:val="1073"/>
    <w:next w:val="1096"/>
    <w:link w:val="1073"/>
    <w:pPr>
      <w:pBdr/>
      <w:spacing/>
      <w:ind w:firstLine="284"/>
    </w:pPr>
  </w:style>
  <w:style w:type="paragraph" w:styleId="1097">
    <w:name w:val="Body Text Indent 3"/>
    <w:basedOn w:val="1073"/>
    <w:next w:val="1097"/>
    <w:link w:val="1073"/>
    <w:pPr>
      <w:pBdr/>
      <w:spacing/>
      <w:ind w:firstLine="284"/>
    </w:pPr>
    <w:rPr>
      <w:color w:val="ff00ff"/>
    </w:rPr>
  </w:style>
  <w:style w:type="paragraph" w:styleId="1098">
    <w:name w:val="Obsah 5"/>
    <w:basedOn w:val="1073"/>
    <w:next w:val="1073"/>
    <w:link w:val="1073"/>
    <w:semiHidden/>
    <w:pPr>
      <w:pBdr/>
      <w:spacing/>
      <w:ind w:left="960"/>
    </w:pPr>
  </w:style>
  <w:style w:type="paragraph" w:styleId="1099">
    <w:name w:val="Obsah 6"/>
    <w:basedOn w:val="1073"/>
    <w:next w:val="1073"/>
    <w:link w:val="1073"/>
    <w:semiHidden/>
    <w:pPr>
      <w:pBdr/>
      <w:spacing/>
      <w:ind w:left="1200"/>
    </w:pPr>
  </w:style>
  <w:style w:type="paragraph" w:styleId="1100">
    <w:name w:val="Obsah 7"/>
    <w:basedOn w:val="1073"/>
    <w:next w:val="1073"/>
    <w:link w:val="1073"/>
    <w:semiHidden/>
    <w:pPr>
      <w:pBdr/>
      <w:spacing/>
      <w:ind w:left="1440"/>
    </w:pPr>
  </w:style>
  <w:style w:type="paragraph" w:styleId="1101">
    <w:name w:val="Obsah 8"/>
    <w:basedOn w:val="1073"/>
    <w:next w:val="1073"/>
    <w:link w:val="1073"/>
    <w:semiHidden/>
    <w:pPr>
      <w:pBdr/>
      <w:spacing/>
      <w:ind w:left="1680"/>
    </w:pPr>
  </w:style>
  <w:style w:type="paragraph" w:styleId="1102">
    <w:name w:val="Obsah 9"/>
    <w:basedOn w:val="1073"/>
    <w:next w:val="1073"/>
    <w:link w:val="1073"/>
    <w:semiHidden/>
    <w:pPr>
      <w:pBdr/>
      <w:spacing/>
      <w:ind w:left="1920"/>
    </w:pPr>
  </w:style>
  <w:style w:type="paragraph" w:styleId="1103">
    <w:name w:val="seznam"/>
    <w:basedOn w:val="1073"/>
    <w:next w:val="1103"/>
    <w:link w:val="1073"/>
    <w:pPr>
      <w:widowControl w:val="false"/>
      <w:pBdr/>
      <w:tabs>
        <w:tab w:val="clear" w:leader="none" w:pos="567"/>
      </w:tabs>
      <w:spacing/>
      <w:ind/>
    </w:pPr>
    <w:rPr>
      <w:rFonts w:ascii="Times New Roman" w:hAnsi="Times New Roman"/>
      <w:sz w:val="24"/>
    </w:rPr>
  </w:style>
  <w:style w:type="character" w:styleId="1104">
    <w:name w:val="Hyperlink1"/>
    <w:next w:val="1104"/>
    <w:link w:val="1073"/>
    <w:pPr>
      <w:pBdr/>
      <w:spacing/>
      <w:ind/>
    </w:pPr>
    <w:rPr>
      <w:color w:val="0000ff"/>
      <w:u w:val="single"/>
    </w:rPr>
  </w:style>
  <w:style w:type="paragraph" w:styleId="1105">
    <w:name w:val="Seznam"/>
    <w:basedOn w:val="1073"/>
    <w:next w:val="1105"/>
    <w:link w:val="1073"/>
    <w:semiHidden/>
    <w:pPr>
      <w:pBdr/>
      <w:tabs>
        <w:tab w:val="clear" w:leader="none" w:pos="567"/>
      </w:tabs>
      <w:spacing w:line="240" w:lineRule="auto"/>
      <w:ind w:hanging="283" w:left="283"/>
    </w:pPr>
    <w:rPr>
      <w:sz w:val="24"/>
    </w:rPr>
  </w:style>
  <w:style w:type="paragraph" w:styleId="1106">
    <w:name w:val="Body Text 3"/>
    <w:basedOn w:val="1073"/>
    <w:next w:val="1106"/>
    <w:link w:val="1073"/>
    <w:pPr>
      <w:pBdr/>
      <w:tabs>
        <w:tab w:val="clear" w:leader="none" w:pos="567"/>
      </w:tabs>
      <w:spacing w:line="240" w:lineRule="auto"/>
      <w:ind/>
    </w:pPr>
    <w:rPr>
      <w:b/>
      <w:i/>
      <w:sz w:val="24"/>
    </w:rPr>
  </w:style>
  <w:style w:type="paragraph" w:styleId="1107">
    <w:name w:val="Text bubliny"/>
    <w:basedOn w:val="1073"/>
    <w:next w:val="1107"/>
    <w:link w:val="1073"/>
    <w:semiHidden/>
    <w:pPr>
      <w:pBdr/>
      <w:spacing/>
      <w:ind/>
    </w:pPr>
    <w:rPr>
      <w:rFonts w:ascii="Tahoma" w:hAnsi="Tahoma" w:cs="SuperFrench"/>
      <w:sz w:val="16"/>
      <w:szCs w:val="16"/>
    </w:rPr>
  </w:style>
  <w:style w:type="character" w:styleId="1108">
    <w:name w:val="Hypertextový odkaz"/>
    <w:next w:val="1108"/>
    <w:link w:val="1073"/>
    <w:uiPriority w:val="99"/>
    <w:pPr>
      <w:pBdr/>
      <w:spacing/>
      <w:ind/>
    </w:pPr>
    <w:rPr>
      <w:color w:val="0000ff"/>
      <w:u w:val="single"/>
    </w:rPr>
  </w:style>
  <w:style w:type="paragraph" w:styleId="1109">
    <w:name w:val="Rozložení dokumentu"/>
    <w:basedOn w:val="1073"/>
    <w:next w:val="1109"/>
    <w:link w:val="1073"/>
    <w:semiHidden/>
    <w:pPr>
      <w:pBdr/>
      <w:shd w:val="clear" w:color="auto" w:fill="000080"/>
      <w:spacing/>
      <w:ind/>
    </w:pPr>
    <w:rPr>
      <w:rFonts w:ascii="Tahoma" w:hAnsi="Tahoma" w:cs="SuperFrench"/>
      <w:sz w:val="20"/>
    </w:rPr>
  </w:style>
  <w:style w:type="paragraph" w:styleId="1110">
    <w:name w:val="Základní text odsazený"/>
    <w:basedOn w:val="1073"/>
    <w:next w:val="1110"/>
    <w:link w:val="1073"/>
    <w:semiHidden/>
    <w:pPr>
      <w:pBdr/>
      <w:spacing w:after="120"/>
      <w:ind w:left="283"/>
    </w:pPr>
  </w:style>
  <w:style w:type="paragraph" w:styleId="1111">
    <w:name w:val="Základní text 2"/>
    <w:basedOn w:val="1073"/>
    <w:next w:val="1111"/>
    <w:link w:val="1073"/>
    <w:semiHidden/>
    <w:pPr>
      <w:pBdr/>
      <w:spacing w:after="120" w:line="480" w:lineRule="auto"/>
      <w:ind/>
    </w:pPr>
  </w:style>
  <w:style w:type="paragraph" w:styleId="1112">
    <w:name w:val="Základní text odsazený 2"/>
    <w:basedOn w:val="1073"/>
    <w:next w:val="1112"/>
    <w:link w:val="1073"/>
    <w:semiHidden/>
    <w:pPr>
      <w:pBdr/>
      <w:spacing/>
      <w:ind w:firstLine="360"/>
    </w:pPr>
    <w:rPr>
      <w:sz w:val="24"/>
    </w:rPr>
  </w:style>
  <w:style w:type="paragraph" w:styleId="1113">
    <w:name w:val="Základní text odsazený 3"/>
    <w:basedOn w:val="1073"/>
    <w:next w:val="1113"/>
    <w:link w:val="1073"/>
    <w:semiHidden/>
    <w:pPr>
      <w:pBdr/>
      <w:spacing/>
      <w:ind w:firstLine="567"/>
    </w:pPr>
  </w:style>
  <w:style w:type="paragraph" w:styleId="1114">
    <w:name w:val="Základní text 3"/>
    <w:basedOn w:val="1073"/>
    <w:next w:val="1114"/>
    <w:link w:val="1073"/>
    <w:semiHidden/>
    <w:pPr>
      <w:pBdr/>
      <w:spacing/>
      <w:ind/>
      <w:jc w:val="left"/>
    </w:pPr>
  </w:style>
  <w:style w:type="character" w:styleId="1115">
    <w:name w:val="Záhlaví Char"/>
    <w:next w:val="1115"/>
    <w:link w:val="1086"/>
    <w:uiPriority w:val="99"/>
    <w:pPr>
      <w:pBdr/>
      <w:spacing/>
      <w:ind/>
    </w:pPr>
    <w:rPr>
      <w:rFonts w:ascii="Arial" w:hAnsi="Arial"/>
      <w:sz w:val="22"/>
    </w:rPr>
  </w:style>
  <w:style w:type="paragraph" w:styleId="1116">
    <w:name w:val="Nadpis obsahu"/>
    <w:basedOn w:val="1074"/>
    <w:next w:val="1073"/>
    <w:link w:val="1073"/>
    <w:uiPriority w:val="39"/>
    <w:unhideWhenUsed/>
    <w:qFormat/>
    <w:pPr>
      <w:keepLines w:val="true"/>
      <w:numPr>
        <w:ilvl w:val="0"/>
        <w:numId w:val="0"/>
      </w:numPr>
      <w:pBdr/>
      <w:tabs>
        <w:tab w:val="clear" w:leader="none" w:pos="567"/>
      </w:tabs>
      <w:spacing w:after="0" w:before="240" w:line="259" w:lineRule="auto"/>
      <w:ind/>
      <w:outlineLvl w:val="9"/>
    </w:pPr>
    <w:rPr>
      <w:rFonts w:ascii="Calibri Light" w:hAnsi="Calibri Light" w:eastAsia="Times New Roman" w:cs="Times New Roman"/>
      <w:b w:val="0"/>
      <w:caps w:val="0"/>
      <w:color w:val="2e74b5"/>
      <w:sz w:val="32"/>
      <w:szCs w:val="32"/>
      <w:u w:val="none"/>
    </w:rPr>
  </w:style>
  <w:style w:type="character" w:styleId="1117">
    <w:name w:val="Nadpis 4 Char"/>
    <w:next w:val="1117"/>
    <w:link w:val="1077"/>
    <w:pPr>
      <w:pBdr/>
      <w:spacing/>
      <w:ind/>
    </w:pPr>
    <w:rPr>
      <w:rFonts w:ascii="Arial" w:hAnsi="Arial"/>
      <w:b/>
      <w:i/>
      <w:sz w:val="24"/>
      <w:u w:val="single"/>
    </w:rPr>
  </w:style>
  <w:style w:type="paragraph" w:styleId="1118">
    <w:name w:val="Odstavec se seznamem"/>
    <w:basedOn w:val="1073"/>
    <w:next w:val="1118"/>
    <w:link w:val="1073"/>
    <w:uiPriority w:val="34"/>
    <w:qFormat/>
    <w:pPr>
      <w:pBdr/>
      <w:spacing/>
      <w:ind w:left="708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VIS a. s.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Jana</dc:creator>
  <cp:revision>187</cp:revision>
  <dcterms:created xsi:type="dcterms:W3CDTF">2014-05-13T07:48:00Z</dcterms:created>
  <dcterms:modified xsi:type="dcterms:W3CDTF">2025-12-10T13:49:27Z</dcterms:modified>
  <cp:version>983040</cp:version>
</cp:coreProperties>
</file>